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/>
        <w:ind w:left="516" w:right="0" w:firstLine="0"/>
        <w:jc w:val="left"/>
        <w:rPr>
          <w:b/>
          <w:sz w:val="30"/>
        </w:rPr>
      </w:pPr>
      <w:bookmarkStart w:id="0" w:name="附件1"/>
      <w:bookmarkEnd w:id="0"/>
      <w:r>
        <w:rPr>
          <w:b/>
          <w:sz w:val="30"/>
        </w:rPr>
        <w:t>附件 1</w:t>
      </w:r>
    </w:p>
    <w:p>
      <w:pPr>
        <w:spacing w:before="2" w:line="240" w:lineRule="auto"/>
        <w:rPr>
          <w:b/>
          <w:sz w:val="28"/>
        </w:rPr>
      </w:pPr>
    </w:p>
    <w:p>
      <w:pPr>
        <w:pStyle w:val="2"/>
        <w:spacing w:before="15"/>
        <w:ind w:left="1218" w:right="1773"/>
        <w:jc w:val="center"/>
      </w:pPr>
      <w:r>
        <w:t>2020 年绍兴装配式建筑技术经验交流会参会回执</w:t>
      </w:r>
    </w:p>
    <w:p>
      <w:pPr>
        <w:pStyle w:val="4"/>
        <w:spacing w:before="2" w:after="1"/>
        <w:rPr>
          <w:rFonts w:ascii="微软雅黑"/>
          <w:sz w:val="12"/>
        </w:rPr>
      </w:pPr>
    </w:p>
    <w:tbl>
      <w:tblPr>
        <w:tblStyle w:val="6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911"/>
        <w:gridCol w:w="1187"/>
        <w:gridCol w:w="1953"/>
        <w:gridCol w:w="2580"/>
        <w:gridCol w:w="900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2" w:type="dxa"/>
          </w:tcPr>
          <w:p>
            <w:pPr>
              <w:pStyle w:val="11"/>
              <w:spacing w:before="132"/>
              <w:ind w:left="10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单位名称</w:t>
            </w:r>
          </w:p>
        </w:tc>
        <w:tc>
          <w:tcPr>
            <w:tcW w:w="8611" w:type="dxa"/>
            <w:gridSpan w:val="6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12" w:type="dxa"/>
          </w:tcPr>
          <w:p>
            <w:pPr>
              <w:pStyle w:val="11"/>
              <w:tabs>
                <w:tab w:val="left" w:pos="985"/>
              </w:tabs>
              <w:spacing w:before="132"/>
              <w:ind w:left="145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姓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名</w:t>
            </w:r>
          </w:p>
        </w:tc>
        <w:tc>
          <w:tcPr>
            <w:tcW w:w="911" w:type="dxa"/>
          </w:tcPr>
          <w:p>
            <w:pPr>
              <w:pStyle w:val="11"/>
              <w:spacing w:before="132"/>
              <w:ind w:left="17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性别</w:t>
            </w:r>
          </w:p>
        </w:tc>
        <w:tc>
          <w:tcPr>
            <w:tcW w:w="1187" w:type="dxa"/>
          </w:tcPr>
          <w:p>
            <w:pPr>
              <w:pStyle w:val="11"/>
              <w:spacing w:before="132"/>
              <w:ind w:left="311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职务</w:t>
            </w:r>
          </w:p>
        </w:tc>
        <w:tc>
          <w:tcPr>
            <w:tcW w:w="1953" w:type="dxa"/>
          </w:tcPr>
          <w:p>
            <w:pPr>
              <w:pStyle w:val="11"/>
              <w:spacing w:before="132"/>
              <w:ind w:left="675" w:right="658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手机</w:t>
            </w:r>
          </w:p>
        </w:tc>
        <w:tc>
          <w:tcPr>
            <w:tcW w:w="2580" w:type="dxa"/>
          </w:tcPr>
          <w:p>
            <w:pPr>
              <w:pStyle w:val="11"/>
              <w:spacing w:before="132"/>
              <w:ind w:left="728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身份证号</w:t>
            </w:r>
          </w:p>
        </w:tc>
        <w:tc>
          <w:tcPr>
            <w:tcW w:w="1980" w:type="dxa"/>
            <w:gridSpan w:val="2"/>
          </w:tcPr>
          <w:p>
            <w:pPr>
              <w:pStyle w:val="11"/>
              <w:spacing w:before="132"/>
              <w:ind w:left="15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绍兴防疫绿码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2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911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187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953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58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900" w:type="dxa"/>
            <w:tcBorders>
              <w:right w:val="single" w:color="000000" w:sz="4" w:space="0"/>
            </w:tcBorders>
          </w:tcPr>
          <w:p>
            <w:pPr>
              <w:pStyle w:val="11"/>
              <w:spacing w:before="133"/>
              <w:ind w:left="80" w:right="65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 是</w:t>
            </w:r>
          </w:p>
        </w:tc>
        <w:tc>
          <w:tcPr>
            <w:tcW w:w="1080" w:type="dxa"/>
            <w:tcBorders>
              <w:left w:val="single" w:color="000000" w:sz="4" w:space="0"/>
            </w:tcBorders>
          </w:tcPr>
          <w:p>
            <w:pPr>
              <w:pStyle w:val="11"/>
              <w:spacing w:before="133"/>
              <w:ind w:left="111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 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12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911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187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953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58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900" w:type="dxa"/>
            <w:tcBorders>
              <w:right w:val="single" w:color="000000" w:sz="4" w:space="0"/>
            </w:tcBorders>
          </w:tcPr>
          <w:p>
            <w:pPr>
              <w:pStyle w:val="11"/>
              <w:spacing w:before="133"/>
              <w:ind w:left="80" w:right="65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 是</w:t>
            </w:r>
          </w:p>
        </w:tc>
        <w:tc>
          <w:tcPr>
            <w:tcW w:w="1080" w:type="dxa"/>
            <w:tcBorders>
              <w:left w:val="single" w:color="000000" w:sz="4" w:space="0"/>
            </w:tcBorders>
          </w:tcPr>
          <w:p>
            <w:pPr>
              <w:pStyle w:val="11"/>
              <w:spacing w:before="133"/>
              <w:ind w:left="111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 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12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911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187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953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58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900" w:type="dxa"/>
            <w:tcBorders>
              <w:right w:val="single" w:color="000000" w:sz="4" w:space="0"/>
            </w:tcBorders>
          </w:tcPr>
          <w:p>
            <w:pPr>
              <w:pStyle w:val="11"/>
              <w:spacing w:before="132"/>
              <w:ind w:left="80" w:right="65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 是</w:t>
            </w:r>
          </w:p>
        </w:tc>
        <w:tc>
          <w:tcPr>
            <w:tcW w:w="1080" w:type="dxa"/>
            <w:tcBorders>
              <w:left w:val="single" w:color="000000" w:sz="4" w:space="0"/>
            </w:tcBorders>
          </w:tcPr>
          <w:p>
            <w:pPr>
              <w:pStyle w:val="11"/>
              <w:spacing w:before="132"/>
              <w:ind w:left="111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 否</w:t>
            </w:r>
          </w:p>
        </w:tc>
      </w:tr>
    </w:tbl>
    <w:p>
      <w:pPr>
        <w:spacing w:before="82"/>
        <w:ind w:left="516" w:right="0" w:firstLine="0"/>
        <w:jc w:val="left"/>
        <w:rPr>
          <w:rFonts w:hint="eastAsia" w:ascii="宋体" w:eastAsia="宋体"/>
          <w:sz w:val="24"/>
        </w:rPr>
        <w:sectPr>
          <w:pgSz w:w="11910" w:h="16840"/>
          <w:pgMar w:top="1280" w:right="560" w:bottom="280" w:left="1060" w:header="720" w:footer="720" w:gutter="0"/>
        </w:sectPr>
      </w:pPr>
      <w:r>
        <w:rPr>
          <w:rFonts w:hint="eastAsia" w:ascii="宋体" w:eastAsia="宋体"/>
          <w:sz w:val="24"/>
        </w:rPr>
        <w:t>备注：2020 年 9 月 10 日前发送回执至指定邮箱。</w:t>
      </w:r>
      <w:bookmarkStart w:id="1" w:name="附件2"/>
      <w:bookmarkEnd w:id="1"/>
    </w:p>
    <w:p>
      <w:pPr>
        <w:pStyle w:val="3"/>
        <w:spacing w:after="240" w:line="360" w:lineRule="auto"/>
        <w:ind w:left="0"/>
      </w:pPr>
      <w:r>
        <w:rPr>
          <w:rFonts w:hint="eastAsia" w:cs="仿宋"/>
          <w:sz w:val="30"/>
          <w:szCs w:val="30"/>
        </w:rPr>
        <w:t>附件</w:t>
      </w:r>
      <w:r>
        <w:rPr>
          <w:rFonts w:hint="eastAsia"/>
        </w:rPr>
        <w:t>2</w:t>
      </w:r>
    </w:p>
    <w:p>
      <w:pPr>
        <w:spacing w:line="360" w:lineRule="auto"/>
        <w:jc w:val="center"/>
        <w:rPr>
          <w:rFonts w:ascii="方正小标宋简体" w:hAnsi="黑体" w:eastAsia="方正小标宋简体" w:cs="Times New Roman"/>
          <w:sz w:val="32"/>
          <w:szCs w:val="36"/>
        </w:rPr>
      </w:pPr>
      <w:r>
        <w:rPr>
          <w:rFonts w:hint="eastAsia" w:ascii="方正小标宋简体" w:hAnsi="黑体" w:eastAsia="方正小标宋简体" w:cs="Times New Roman"/>
          <w:sz w:val="32"/>
          <w:szCs w:val="36"/>
        </w:rPr>
        <w:t>2020年绍兴装配式建筑技术经验交流会议程（半天）</w:t>
      </w:r>
    </w:p>
    <w:tbl>
      <w:tblPr>
        <w:tblStyle w:val="7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"/>
        <w:gridCol w:w="721"/>
        <w:gridCol w:w="753"/>
        <w:gridCol w:w="2777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56" w:type="dxa"/>
            <w:gridSpan w:val="6"/>
            <w:tcBorders>
              <w:tl2br w:val="nil"/>
              <w:tr2bl w:val="nil"/>
            </w:tcBorders>
          </w:tcPr>
          <w:p>
            <w:pPr>
              <w:pStyle w:val="5"/>
              <w:spacing w:before="156" w:beforeLines="50" w:beforeAutospacing="0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9:00-9:30交流会开幕式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56" w:type="dxa"/>
            <w:gridSpan w:val="6"/>
            <w:tcBorders>
              <w:tl2br w:val="nil"/>
              <w:tr2bl w:val="nil"/>
            </w:tcBorders>
          </w:tcPr>
          <w:p>
            <w:pPr>
              <w:pStyle w:val="5"/>
              <w:spacing w:before="156" w:beforeLines="50" w:before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主持人：绍兴建筑产业现代化发展联盟秘书长（拟定）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8" w:type="dxa"/>
            <w:gridSpan w:val="2"/>
            <w:tcBorders>
              <w:tl2br w:val="nil"/>
              <w:tr2bl w:val="nil"/>
            </w:tcBorders>
          </w:tcPr>
          <w:p>
            <w:pPr>
              <w:pStyle w:val="5"/>
              <w:spacing w:before="156" w:beforeLines="50" w:beforeAutospacing="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9:00-9:05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pStyle w:val="5"/>
              <w:spacing w:before="156" w:beforeLines="50" w:before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会议开幕，介绍与会领导、嘉宾等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8" w:type="dxa"/>
            <w:gridSpan w:val="2"/>
            <w:tcBorders>
              <w:tl2br w:val="nil"/>
              <w:tr2bl w:val="nil"/>
            </w:tcBorders>
          </w:tcPr>
          <w:p>
            <w:pPr>
              <w:pStyle w:val="5"/>
              <w:spacing w:before="156" w:beforeLines="50" w:beforeAutospacing="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9:05-9:15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pStyle w:val="5"/>
              <w:spacing w:before="156" w:beforeLines="50" w:before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绍兴建筑产业化联盟负责人讲话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8" w:type="dxa"/>
            <w:gridSpan w:val="2"/>
            <w:tcBorders>
              <w:tl2br w:val="nil"/>
              <w:tr2bl w:val="nil"/>
            </w:tcBorders>
          </w:tcPr>
          <w:p>
            <w:pPr>
              <w:pStyle w:val="5"/>
              <w:spacing w:before="156" w:beforeLines="50" w:beforeAutospacing="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9:15-9:30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pStyle w:val="5"/>
              <w:spacing w:before="156" w:beforeLines="50" w:before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领导致辞（暂定绍兴住建局相关领导）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5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9:30-10:50装配式建筑主题报告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360" w:lineRule="auto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演讲嘉宾</w:t>
            </w: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360" w:lineRule="auto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报告时间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360" w:lineRule="auto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单位及职务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360" w:lineRule="auto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55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after="156" w:afterLines="50" w:afterAutospacing="0"/>
              <w:jc w:val="both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报告主持人：绍兴市勘察设计咨询业协会秘书长（拟定）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田宇治</w:t>
            </w: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9:30-9:50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line="30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绿筑建筑设计（上海）设计院 院长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钢结构装配式公共建筑技术体系及工程应用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李瑞峰</w:t>
            </w: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9:50-10:10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浙江精工绿筑住宅科技有限公司  副总工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钢结构装配式住宅建筑技术体系和数字信息化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金振奋</w:t>
            </w: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10:10-10:30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line="300" w:lineRule="auto"/>
              <w:jc w:val="both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浙江大学建筑设计研究院有限公司 副总工 建筑工业化设计总监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装配式钢结构建筑技术集成工程实践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屠来洪</w:t>
            </w: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10:30-10:50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line="30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华汇建设集团有限公司副总裁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高精度模板（铝模板）技术体系及工程应用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after="0" w:afterAutospacing="0" w:line="24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 xml:space="preserve">10:50-12:10 </w:t>
            </w:r>
          </w:p>
          <w:p>
            <w:pPr>
              <w:pStyle w:val="5"/>
              <w:spacing w:before="156" w:beforeLines="50" w:beforeAutospacing="0" w:after="0" w:afterAutospacing="0" w:line="24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项目参观：绍兴南部综合交通枢纽工程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240" w:lineRule="exac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10:50-11:10</w:t>
            </w:r>
          </w:p>
        </w:tc>
        <w:tc>
          <w:tcPr>
            <w:tcW w:w="6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240" w:lineRule="exac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赴绍兴南部综合交通枢纽工程项目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240" w:lineRule="exac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11:10-11:50</w:t>
            </w:r>
          </w:p>
        </w:tc>
        <w:tc>
          <w:tcPr>
            <w:tcW w:w="6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240" w:lineRule="exac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参观项目工地现场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240" w:lineRule="exac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11:50-12:10</w:t>
            </w:r>
          </w:p>
        </w:tc>
        <w:tc>
          <w:tcPr>
            <w:tcW w:w="6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240" w:lineRule="exac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回绍兴职业技术学院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240" w:lineRule="exac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12:10</w:t>
            </w:r>
          </w:p>
        </w:tc>
        <w:tc>
          <w:tcPr>
            <w:tcW w:w="6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56" w:beforeLines="50" w:beforeAutospacing="0" w:line="240" w:lineRule="exac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绍兴职业技术学院午餐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6" w:type="dxa"/>
            <w:gridSpan w:val="6"/>
            <w:tcBorders>
              <w:tl2br w:val="nil"/>
              <w:tr2bl w:val="nil"/>
            </w:tcBorders>
          </w:tcPr>
          <w:p>
            <w:pPr>
              <w:pStyle w:val="5"/>
              <w:spacing w:before="156" w:beforeLines="50" w:beforeAutospacing="0" w:after="156" w:afterLines="50" w:afterAutospacing="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绍兴南部综合交通枢纽工程介绍</w:t>
            </w:r>
          </w:p>
          <w:p>
            <w:pPr>
              <w:pStyle w:val="5"/>
              <w:spacing w:after="156" w:afterLines="50" w:afterAutospacing="0"/>
              <w:ind w:firstLine="480" w:firstLineChars="20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项目按长途客运站国家规范的二级车站设计，年平均日发送旅客5000人，发车车位13个，同步结合地铁换乘站、公交车站、出租车和社会车辆停车场，实现对外运输与城市内交通方式的无缝衔接，实现多种运输方式的零距离换乘，项目建成后将成为绍兴南部区域集长途客运、交通轨道、城市公交与旅游集散于一体的综合交通枢纽。项目总用地面积27814㎡，概算总投资4.85亿元。</w:t>
            </w:r>
          </w:p>
          <w:p>
            <w:pPr>
              <w:pStyle w:val="5"/>
              <w:spacing w:after="156" w:afterLines="50" w:after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建筑面积：总建筑面积79671㎡，其中地上46870㎡(含客运及公交站房面积12596㎡,配套服务用房10254㎡,交通综合服务用房24020㎡)，地下32801㎡。</w:t>
            </w:r>
          </w:p>
          <w:p>
            <w:pPr>
              <w:pStyle w:val="5"/>
              <w:spacing w:after="156" w:afterLines="50" w:after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建筑组成：地下2层，地上由交通综合服务用房(主楼19层)以及长运、公交及配套用房(裙房4层)组成。</w:t>
            </w:r>
          </w:p>
          <w:p>
            <w:pPr>
              <w:pStyle w:val="5"/>
              <w:spacing w:after="0" w:after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建筑高度：交通综合服务用房(主楼)建筑高度：85.70m；长运、公交及配套用房(裙房)建筑高度：22.95m。</w:t>
            </w:r>
          </w:p>
          <w:p>
            <w:pPr>
              <w:pStyle w:val="5"/>
              <w:spacing w:after="156" w:afterLines="50" w:after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主体框架：主楼为装配式钢管砼框架-中心支撑结构体系。</w:t>
            </w:r>
          </w:p>
          <w:p>
            <w:pPr>
              <w:pStyle w:val="5"/>
              <w:spacing w:after="156" w:afterLines="50" w:after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主体楼地面：主楼采用钢筋桁架楼承板。 </w:t>
            </w:r>
          </w:p>
          <w:p>
            <w:pPr>
              <w:pStyle w:val="5"/>
              <w:spacing w:after="156" w:afterLines="50" w:after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楼梯：主楼部分采用装配式钢楼梯。</w:t>
            </w:r>
          </w:p>
          <w:p>
            <w:pPr>
              <w:pStyle w:val="5"/>
              <w:spacing w:after="0" w:after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围护墙体:主楼采用干法施工且集保温、隔热、装饰一体化的幕墙系统。BIM协同设计：采用土建设计、机电设备一体化协同。在施工图设计和深化设计阶段均采用建筑信息化模型（BIM）技术进行辅助工作，协同完成各专业设计内容。</w:t>
            </w:r>
          </w:p>
          <w:p>
            <w:pPr>
              <w:pStyle w:val="5"/>
              <w:spacing w:after="0" w:afterAutospacing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装配预制率：58%；建筑密度：41.6%；绿地率：15%。</w:t>
            </w:r>
          </w:p>
        </w:tc>
      </w:tr>
    </w:tbl>
    <w:p>
      <w:pPr>
        <w:spacing w:line="360" w:lineRule="auto"/>
        <w:rPr>
          <w:rFonts w:ascii="仿宋_GB2312" w:hAnsi="宋体" w:eastAsia="仿宋_GB2312" w:cs="宋体"/>
          <w:bCs/>
          <w:sz w:val="24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before="82"/>
        <w:ind w:left="516" w:right="0" w:firstLine="0"/>
        <w:jc w:val="left"/>
        <w:rPr>
          <w:rFonts w:hint="eastAsia" w:ascii="宋体" w:eastAsia="宋体"/>
          <w:sz w:val="24"/>
        </w:rPr>
      </w:pPr>
      <w:bookmarkStart w:id="2" w:name="_GoBack"/>
      <w:bookmarkEnd w:id="2"/>
    </w:p>
    <w:sectPr>
      <w:pgSz w:w="11906" w:h="16838"/>
      <w:pgMar w:top="1327" w:right="1633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85647"/>
    <w:rsid w:val="7A5E3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90"/>
      <w:outlineLvl w:val="1"/>
    </w:pPr>
    <w:rPr>
      <w:rFonts w:ascii="微软雅黑" w:hAnsi="微软雅黑" w:eastAsia="微软雅黑" w:cs="微软雅黑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9"/>
    <w:pPr>
      <w:ind w:left="678"/>
      <w:outlineLvl w:val="1"/>
    </w:pPr>
    <w:rPr>
      <w:rFonts w:ascii="仿宋" w:hAnsi="仿宋" w:eastAsia="仿宋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2020-09-04T22:43:00Z</dcterms:created>
  <dc:creator>心明</dc:creator>
  <cp:lastModifiedBy>小小瑜爸</cp:lastModifiedBy>
  <dcterms:modified xsi:type="dcterms:W3CDTF">2020-09-04T23:29:40Z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2020-09-04T00:00:00Z</vt:filetime>
  </property>
  <property fmtid="{D5CDD505-2E9C-101B-9397-08002B2CF9AE}" pid="5" name="KSOProductBuildVer">
    <vt:lpwstr>2052-11.1.0.9912</vt:lpwstr>
  </property>
</Properties>
</file>